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atLeast"/>
        <w:jc w:val="center"/>
        <w:rPr>
          <w:rFonts w:ascii="微软雅黑" w:hAnsi="微软雅黑" w:eastAsia="微软雅黑" w:cs="宋体"/>
          <w:color w:val="7D7C7C"/>
          <w:kern w:val="0"/>
          <w:szCs w:val="21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3F3F3F"/>
          <w:kern w:val="0"/>
          <w:sz w:val="28"/>
          <w:szCs w:val="28"/>
        </w:rPr>
        <w:t>南京农业大学成人高等教育本科毕业生</w:t>
      </w:r>
    </w:p>
    <w:p>
      <w:pPr>
        <w:widowControl/>
        <w:shd w:val="clear" w:color="auto" w:fill="FFFFFF"/>
        <w:spacing w:line="440" w:lineRule="atLeast"/>
        <w:jc w:val="center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授予学士学位的实施办法</w:t>
      </w:r>
    </w:p>
    <w:p>
      <w:pPr>
        <w:widowControl/>
        <w:shd w:val="clear" w:color="auto" w:fill="FFFFFF"/>
        <w:spacing w:line="440" w:lineRule="atLeast"/>
        <w:jc w:val="center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(2019年修订)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color w:val="3F3F3F"/>
          <w:kern w:val="0"/>
          <w:sz w:val="27"/>
          <w:szCs w:val="27"/>
        </w:rPr>
        <w:t>根据《中华人民共和国学位条例》、《中华人民共和国学位条例暂行实施办法》，以及国务院学位委员会《关于授予成人高等教育本科毕业生学士学位暂行规定》精神，结合我校培养本科生的实际情况，特制定本实施办法。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b/>
          <w:bCs/>
          <w:color w:val="3F3F3F"/>
          <w:kern w:val="0"/>
          <w:sz w:val="27"/>
          <w:szCs w:val="27"/>
        </w:rPr>
        <w:t>第一条  按照《关于授予成人高等教育本科毕业生学士学位暂行规定》有关精神，校学位评定委员会指定学校教务处为学士学位主管部门，并履行以下职责：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color w:val="3F3F3F"/>
          <w:kern w:val="0"/>
          <w:sz w:val="27"/>
          <w:szCs w:val="27"/>
        </w:rPr>
        <w:t>（一）组织成人高等教育学士学位课程的考试；组织全国英语等级考试(PETS)3 级笔试考试(含听力)；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color w:val="3F3F3F"/>
          <w:kern w:val="0"/>
          <w:sz w:val="27"/>
          <w:szCs w:val="27"/>
        </w:rPr>
        <w:t>（二）协助校学位评定委员会认真做好评</w:t>
      </w:r>
      <w:r>
        <w:rPr>
          <w:rFonts w:hint="eastAsia" w:ascii="华文细黑" w:hAnsi="华文细黑" w:eastAsia="华文细黑" w:cs="宋体"/>
          <w:color w:val="000000"/>
          <w:kern w:val="0"/>
          <w:sz w:val="24"/>
          <w:szCs w:val="24"/>
        </w:rPr>
        <w:t>审工作，并向校学位委员会提出授予学士学位的名单和建议；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color w:val="3F3F3F"/>
          <w:kern w:val="0"/>
          <w:sz w:val="27"/>
          <w:szCs w:val="27"/>
        </w:rPr>
        <w:t>（三）研究提出处理成人高等教育学士学位有争议的事宜，提请校学位委员会审定。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b/>
          <w:bCs/>
          <w:color w:val="3F3F3F"/>
          <w:kern w:val="0"/>
          <w:sz w:val="27"/>
          <w:szCs w:val="27"/>
        </w:rPr>
        <w:t>第二条  凡具备下列条件的成人高等教育应届本科毕业生可以授予学士学位：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color w:val="3F3F3F"/>
          <w:kern w:val="0"/>
          <w:sz w:val="27"/>
          <w:szCs w:val="27"/>
        </w:rPr>
        <w:t>（一）热爱祖国，拥护中国共产党的领导，拥护社会主义制度，遵守法律，遵守校纪校规，品行端正；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华文细黑" w:hAnsi="华文细黑" w:eastAsia="华文细黑" w:cs="宋体"/>
          <w:color w:val="3F3F3F"/>
          <w:kern w:val="0"/>
          <w:sz w:val="27"/>
          <w:szCs w:val="27"/>
        </w:rPr>
      </w:pPr>
      <w:r>
        <w:rPr>
          <w:rFonts w:hint="eastAsia" w:ascii="华文细黑" w:hAnsi="华文细黑" w:eastAsia="华文细黑" w:cs="宋体"/>
          <w:color w:val="3F3F3F"/>
          <w:kern w:val="0"/>
          <w:sz w:val="27"/>
          <w:szCs w:val="27"/>
        </w:rPr>
        <w:t>（二）完成本科教学计划规定的各项要求，课程学习和毕业论文（毕业设计或其它毕业实践环节）达到学校规定的要求；</w:t>
      </w:r>
    </w:p>
    <w:p>
      <w:pPr>
        <w:widowControl/>
        <w:shd w:val="clear" w:color="auto" w:fill="FFFFFF"/>
        <w:spacing w:line="420" w:lineRule="atLeast"/>
        <w:ind w:firstLine="540" w:firstLineChars="200"/>
        <w:jc w:val="left"/>
        <w:rPr>
          <w:rFonts w:ascii="华文细黑" w:hAnsi="华文细黑" w:eastAsia="华文细黑" w:cs="宋体"/>
          <w:color w:val="3F3F3F"/>
          <w:kern w:val="0"/>
          <w:sz w:val="27"/>
          <w:szCs w:val="27"/>
        </w:rPr>
      </w:pPr>
      <w:r>
        <w:rPr>
          <w:rFonts w:hint="eastAsia" w:ascii="华文细黑" w:hAnsi="华文细黑" w:eastAsia="华文细黑" w:cs="宋体"/>
          <w:color w:val="3F3F3F"/>
          <w:kern w:val="0"/>
          <w:sz w:val="27"/>
          <w:szCs w:val="27"/>
        </w:rPr>
        <w:t>（三）学位英语符合以下任意一个条件或条款项均可。</w:t>
      </w:r>
    </w:p>
    <w:p>
      <w:pPr>
        <w:widowControl/>
        <w:shd w:val="clear" w:color="auto" w:fill="FFFFFF"/>
        <w:spacing w:line="420" w:lineRule="atLeast"/>
        <w:ind w:firstLine="60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color w:val="3F3F3F"/>
          <w:kern w:val="0"/>
          <w:sz w:val="27"/>
          <w:szCs w:val="27"/>
        </w:rPr>
        <w:t>1．全国英语等级考试(PETS)3 级笔试考试(含听力)，考试成绩达到卷面总分的60%(含60%)及以上；或“全国英语等级考试(PETS)3级笔试考试(含听力)”考试成绩 +“南京农业大学成人高等教育英语水平测试”考试成绩≥120分 (均按100分制折算)；</w:t>
      </w:r>
    </w:p>
    <w:p>
      <w:pPr>
        <w:widowControl/>
        <w:shd w:val="clear" w:color="auto" w:fill="FFFFFF"/>
        <w:spacing w:line="420" w:lineRule="atLeast"/>
        <w:ind w:firstLine="57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color w:val="3F3F3F"/>
          <w:kern w:val="0"/>
          <w:sz w:val="27"/>
          <w:szCs w:val="27"/>
        </w:rPr>
        <w:t>2．自考英语II(代码00015)，考试成绩达到卷面总分的60%(含60%)及以上（6年内有效）；</w:t>
      </w:r>
    </w:p>
    <w:p>
      <w:pPr>
        <w:widowControl/>
        <w:shd w:val="clear" w:color="auto" w:fill="FFFFFF"/>
        <w:spacing w:line="420" w:lineRule="atLeast"/>
        <w:ind w:firstLine="57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color w:val="3F3F3F"/>
          <w:kern w:val="0"/>
          <w:sz w:val="27"/>
          <w:szCs w:val="27"/>
        </w:rPr>
        <w:t>3．全国大学英语四、六级，考试成绩达到卷面总分的60%(含60%)及以上（6年内有效）。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color w:val="3F3F3F"/>
          <w:kern w:val="0"/>
          <w:sz w:val="27"/>
          <w:szCs w:val="27"/>
        </w:rPr>
        <w:t>（四）非脱产班学员在学习期间，能很好地完成本职工作。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b/>
          <w:bCs/>
          <w:color w:val="3F3F3F"/>
          <w:kern w:val="0"/>
          <w:sz w:val="27"/>
          <w:szCs w:val="27"/>
        </w:rPr>
        <w:t>第三条  有下列情况之一者不授予学士学位：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color w:val="3F3F3F"/>
          <w:kern w:val="0"/>
          <w:sz w:val="27"/>
          <w:szCs w:val="27"/>
        </w:rPr>
        <w:t>（一）凡有违反本实施办法第二条的具体行为者；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color w:val="000000"/>
          <w:kern w:val="0"/>
          <w:sz w:val="24"/>
          <w:szCs w:val="24"/>
        </w:rPr>
        <w:t>（二）</w:t>
      </w:r>
      <w:r>
        <w:rPr>
          <w:rFonts w:hint="eastAsia" w:ascii="华文细黑" w:hAnsi="华文细黑" w:eastAsia="华文细黑" w:cs="宋体"/>
          <w:color w:val="3F3F3F"/>
          <w:kern w:val="0"/>
          <w:sz w:val="24"/>
          <w:szCs w:val="24"/>
        </w:rPr>
        <w:t>专升本科在学习期间累计有三门以上课程（含三门）经补考及格者；高升本科在学习期间累计有五门以上课程（含五门）经补考及格者。不及格课程经重修后及格，视同正常修读；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color w:val="000000"/>
          <w:kern w:val="0"/>
          <w:sz w:val="24"/>
          <w:szCs w:val="24"/>
        </w:rPr>
        <w:t>（三）</w:t>
      </w:r>
      <w:r>
        <w:rPr>
          <w:rFonts w:hint="eastAsia" w:ascii="华文细黑" w:hAnsi="华文细黑" w:eastAsia="华文细黑" w:cs="宋体"/>
          <w:color w:val="3F3F3F"/>
          <w:kern w:val="0"/>
          <w:sz w:val="24"/>
          <w:szCs w:val="24"/>
        </w:rPr>
        <w:t>学士学位课程考试不及格者；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color w:val="3F3F3F"/>
          <w:kern w:val="0"/>
          <w:sz w:val="27"/>
          <w:szCs w:val="27"/>
        </w:rPr>
        <w:t>（四）未获得毕业资格者。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b/>
          <w:bCs/>
          <w:color w:val="3F3F3F"/>
          <w:kern w:val="0"/>
          <w:sz w:val="27"/>
          <w:szCs w:val="27"/>
        </w:rPr>
        <w:t>第四条  学位评定及授予方法：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color w:val="3F3F3F"/>
          <w:kern w:val="0"/>
          <w:sz w:val="27"/>
          <w:szCs w:val="27"/>
        </w:rPr>
        <w:t>（一）符合条件规定的本科毕业生可在毕业前到继续教育学院填写《学士学位申请表》，由继续教育学院初步审核，并将初审情况及初审通过名单一并交学校学士学位主管部门（教务处）复核；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color w:val="3F3F3F"/>
          <w:kern w:val="0"/>
          <w:sz w:val="27"/>
          <w:szCs w:val="27"/>
        </w:rPr>
        <w:t>（二）校学士学位主管部门对毕业生进行审核，并将审核意见上报校学位评定委员会审定。校学位评定委员会审查通过者，授予学士学位，颁发《成人高等教育学士学位证书》。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b/>
          <w:bCs/>
          <w:color w:val="3F3F3F"/>
          <w:kern w:val="0"/>
          <w:sz w:val="27"/>
          <w:szCs w:val="27"/>
        </w:rPr>
        <w:t>第五条  毕业当年未获得学士学位者，以后一律不再补授。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b/>
          <w:bCs/>
          <w:color w:val="3F3F3F"/>
          <w:kern w:val="0"/>
          <w:sz w:val="27"/>
          <w:szCs w:val="27"/>
        </w:rPr>
        <w:t>第六条  成人高等教育各专业授予的学士学位类别，与全日制普通高等教育本科相应专业相同。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b/>
          <w:bCs/>
          <w:color w:val="3F3F3F"/>
          <w:kern w:val="0"/>
          <w:sz w:val="27"/>
          <w:szCs w:val="27"/>
        </w:rPr>
        <w:t>第七条  其他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color w:val="3F3F3F"/>
          <w:kern w:val="0"/>
          <w:sz w:val="27"/>
          <w:szCs w:val="27"/>
        </w:rPr>
        <w:t>（一）本科生在校学习期间，可以根据自身学习情况选择参加全国英语等级考试(PETS)3 级笔试 (含听力)等申请成人学士学位规定的英语条件的水平考试。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color w:val="3F3F3F"/>
          <w:kern w:val="0"/>
          <w:sz w:val="27"/>
          <w:szCs w:val="27"/>
        </w:rPr>
        <w:t>全国英语等级考试(PETS)3 级笔试(含听力)考试每年一次，报名时间为五月初，考试时间为九月份（具体按照国家规定执行）。南京农业大学成人高等教育英语水平测试安排在当天下午进行。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color w:val="3F3F3F"/>
          <w:kern w:val="0"/>
          <w:sz w:val="27"/>
          <w:szCs w:val="27"/>
        </w:rPr>
        <w:t>全国大学英语四级、六级考试每年两次，报名时间以教务处的通知为准，考试时间分别在六月份和十二月份（具体按照国家规定执行）。</w:t>
      </w:r>
    </w:p>
    <w:p>
      <w:pPr>
        <w:widowControl/>
        <w:shd w:val="clear" w:color="auto" w:fill="FFFFFF"/>
        <w:spacing w:line="420" w:lineRule="atLeast"/>
        <w:ind w:firstLine="36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color w:val="3F3F3F"/>
          <w:kern w:val="0"/>
          <w:sz w:val="27"/>
          <w:szCs w:val="27"/>
        </w:rPr>
        <w:t>（二）学士学位考试课程为三门，在专业教学计划中指定。凡取得本科毕业资格的学生，可以在毕业前报名参加学士学位课程考试。考试时间在每年的四月下旬或五月上旬，具体考试时间在报名时通知。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7D7C7C"/>
          <w:kern w:val="0"/>
          <w:szCs w:val="21"/>
        </w:rPr>
      </w:pPr>
      <w:r>
        <w:rPr>
          <w:rFonts w:hint="eastAsia" w:ascii="华文细黑" w:hAnsi="华文细黑" w:eastAsia="华文细黑" w:cs="宋体"/>
          <w:b/>
          <w:bCs/>
          <w:color w:val="3F3F3F"/>
          <w:kern w:val="0"/>
          <w:sz w:val="27"/>
          <w:szCs w:val="27"/>
        </w:rPr>
        <w:t>第八条  本办法自2019年5月1日起实施，由校学位委员会授权教务处、继续教育学院负责解释。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xM2NhMjY4OTk4YjZkY2JmZjNkMzI3YjhjMjY0YjkifQ=="/>
  </w:docVars>
  <w:rsids>
    <w:rsidRoot w:val="00B8146C"/>
    <w:rsid w:val="001735DC"/>
    <w:rsid w:val="005E57E3"/>
    <w:rsid w:val="00AD2ADA"/>
    <w:rsid w:val="00B8146C"/>
    <w:rsid w:val="00D47ECA"/>
    <w:rsid w:val="2AF8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2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sp"/>
    <w:basedOn w:val="6"/>
    <w:uiPriority w:val="0"/>
  </w:style>
  <w:style w:type="character" w:customStyle="1" w:styleId="10">
    <w:name w:val="页眉 字符"/>
    <w:basedOn w:val="6"/>
    <w:link w:val="4"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238</Words>
  <Characters>1359</Characters>
  <Lines>11</Lines>
  <Paragraphs>3</Paragraphs>
  <TotalTime>13</TotalTime>
  <ScaleCrop>false</ScaleCrop>
  <LinksUpToDate>false</LinksUpToDate>
  <CharactersWithSpaces>1594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2021-03-09T08:54:00Z</dcterms:created>
  <dc:creator>jhy</dc:creator>
  <cp:lastModifiedBy>蘑菇</cp:lastModifiedBy>
  <dcterms:modified xsi:type="dcterms:W3CDTF">2023-10-25T08:10:14Z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F0566FD57DED4F97839CA0A7E254D9C1_12</vt:lpwstr>
  </property>
</Properties>
</file>